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BF3" w:rsidRDefault="009C3BF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Зарегистрировано в Минюсте России 8 декабря 2015 г. N 40000</w:t>
      </w:r>
    </w:p>
    <w:p w:rsidR="009C3BF3" w:rsidRDefault="000C2433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4"/>
          <w:szCs w:val="4"/>
        </w:rPr>
        <w:t> </w:t>
      </w:r>
    </w:p>
    <w:p w:rsidR="009C3BF3" w:rsidRDefault="009C3B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МИНИСТЕРСТВО ОБРАЗОВАНИЯ И НАУКИ РОССИЙСКОЙ ФЕДЕРАЦИИ</w:t>
      </w:r>
    </w:p>
    <w:p w:rsidR="009C3BF3" w:rsidRDefault="009C3B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ПРИКАЗ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от 9 ноября 2015 г. N 1309</w:t>
      </w:r>
    </w:p>
    <w:p w:rsidR="009C3BF3" w:rsidRDefault="009C3B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ред. Приказа Минобрнауки РФ </w:t>
      </w:r>
      <w:hyperlink r:id="rId4" w:anchor="l0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от 18.08.2016 N 1065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</w:p>
    <w:p w:rsidR="009C3BF3" w:rsidRDefault="009C3B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hyperlink r:id="rId5" w:anchor="l1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подпунктом 5.2.73(13)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 N 6, ст. 582; N 27, ст. 3776; 2015, N 26, ст. 3898; N 43, ст. 5976), приказываю: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Утвердить по согласованию с Министерством труда и социальной защиты Российской Федерации прилагаемый Порядок обеспечения условий доступности для инвалидов объектов и предоставляемых услуг в сфере образования, а также оказания им при этом необходимой помощи.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Настоящий приказ вступает в силу с 1 января 2016 года.</w:t>
      </w:r>
    </w:p>
    <w:p w:rsidR="009C3BF3" w:rsidRDefault="009C3B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Министр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Д.В. ЛИВАНОВ</w:t>
      </w:r>
    </w:p>
    <w:p w:rsidR="009C3BF3" w:rsidRDefault="009C3B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Приложение</w:t>
      </w:r>
    </w:p>
    <w:p w:rsidR="009C3BF3" w:rsidRDefault="009C3B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УТВЕРЖДЕН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приказом Министерства образования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и науки Российской Федерации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от 9 ноября 2015 г. N 1309</w:t>
      </w:r>
    </w:p>
    <w:p w:rsidR="009C3BF3" w:rsidRDefault="009C3B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ПОРЯДОК ОБЕСПЕЧЕНИЯ УСЛОВИЙ ДОСТУПНОСТИ ДЛЯ ИНВАЛИДОВ ОБЪЕКТОВ И ПРЕДОСТАВЛЯЕМЫХ УСЛУГ В СФЕРЕ ОБРАЗОВАНИЯ, А ТАКЖЕ ОКАЗАНИЯ ИМ ПРИ ЭТОМ НЕОБХОДИМОЙ ПОМОЩИ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ред. Приказа Минобрнауки РФ </w:t>
      </w:r>
      <w:hyperlink r:id="rId6" w:anchor="l4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от 18.08.2016 N 1065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</w:p>
    <w:p w:rsidR="009C3BF3" w:rsidRDefault="009C3BF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Порядок обеспечения условий доступности для инвалидов объектов и предоставляемых услуг в сфере образования, а также оказания им при этом необходимой помощи определяет правила обеспечения условий доступности для инвалидов объектов (административные здания, строения, сооружения и помещения) (далее - объекты) Министерства образования и науки Российской Федерации, Федеральной службы по надзору в сфере образования и науки, Федерального агентства по делам молодежи, органов государственной власти субъектов Российской Федерации, осуществляющих государственное управление в сфере образования, органов местного самоуправления, осуществляющих управление в сфере образования (далее - органы), подведомственных органам организаций, независимо от их организационно-правовых форм (далее - организации); услуг в сфере образования, предоставляемых органами и организациями в соответствии с Федеральным законом </w:t>
      </w:r>
      <w:hyperlink r:id="rId7" w:anchor="l0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от 27 июля 2010 г. N 210-ФЗ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"Об организации предоставления государственных и муниципальных услуг" (Собрание законодательства Российской Федерации, 2010, N 31, ст. 4179; 2011, N 15, ст. 2038; N 27, ст. 3873, ст. 3880; N 29, ст. 4291; N 30, ст. 4587; N 49, ст. 7061; 2012, N 31, ст. 4322; 2013, N 14, ст. 1651; N 27, ст. 3477, ст. 3480; N 30, ст. 4084; N 51, ст. 6679; N 52, ст. 6952, ст. 6961, ст. 7009; 2014, N 26, ст. 3366; N 30, ст. 4264; 2015, N 1, ст. 67, ст. 72; N 29, ст. 4342) (далее - услуги в сфере образования), а также оказания инвалидам при этом необходимой помощи в преодолении барьеров, мешающих получению услуг в сфере образования и использованию объектов наравне с другими лицами. (в ред. Приказа Минобрнауки РФ </w:t>
      </w:r>
      <w:hyperlink r:id="rId8" w:anchor="l4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от 18.08.2016 N 1065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Руководители органов и организаций, предоставляющих услуги в сфере образования, в пределах установленных полномочий организуют инструктирование или обучение специалистов, работающих с инвалидами по вопросам, связанным с обеспечением доступности для инвалидов объектов и услуг в сфере образования с учетом имеющихся у них стойких расстройств функций организма и ограничений жизнедеятельности.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Руководителями органов и организаций, предоставляющих услуги в сфере образования, обеспечивается создание инвалидам следующих условий доступности объектов в соответствии с требованиями, установленными законодательными и иными нормативными правовыми актами: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возможность беспрепятственного входа в объекты и выхода из них;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возможность самостоятельного передвижения по территории объекта в целях доступа к месту предоставления услуги, в том числе с помощью работников объекта, предоставляющих услуги, ассистивных и вспомогательных технологий, а также сменного кресла-коляски;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возможность посадки в транспортное средство и высадки из него перед входом в объект, в </w:t>
      </w:r>
      <w:r>
        <w:rPr>
          <w:rFonts w:ascii="Times New Roman" w:hAnsi="Times New Roman" w:cs="Times New Roman"/>
          <w:sz w:val="24"/>
          <w:szCs w:val="24"/>
        </w:rPr>
        <w:lastRenderedPageBreak/>
        <w:t>том числе с использованием кресла-коляски и, при необходимости, с помощью работников объекта;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сопровождение инвалидов, имеющих стойкие нарушения функции зрения, и возможность самостоятельного передвижения по территории объекта;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содействие инвалиду при входе в объект и выходе из него, информирование инвалида о доступных маршрутах общественного транспорта;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надлежащее размещение носителей информации, необходимой для обеспечения беспрепятственного доступа инвалидов к объектам и услугам, с учетом ограничений их жизнедеятельности, в том числе дублирование необходимой для получения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ж) 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утвержденных приказом Министерства труда и социальной защиты Российской Федерации от 22 июня 2015 г. N 386н (зарегистрирован Министерством юстиции Российской Федерации 21 июля 2015 г., регистрационный N 38115).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Руководителями органов и организаций, предоставляющих услуги в сфере образования, обеспечивается создание инвалидам следующих условий доступности услуг в соответствии с требованиями, установленными законодательными и иными нормативными правовыми актами: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наличие при входе в объект вывески с названием организации, графиком работы организации, плана здания, выполненных рельефно-точечным шрифтом Брайля и на контрастном фоне;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оказание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предоставление инвалидам по слуху, при необходимости, услуги с использованием русского жестового языка, включая обеспечение допуска на объект сурдопереводчика, тифлопереводчика;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наличие в одном из помещений, предназначенных для проведения массовых мероприятий, индукционных петель и звукоусиливающей аппаратуры;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адаптация официального сайта органа и организации, предоставляющих услуги в сфере образования, для лиц с нарушением зрения (слабовидящих);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обеспечение предоставления услуг тьютора организацией, предоставляющей услуги в сфере образования, на основании соответствующей рекомендации в заключении психолого-медико-педагогической комиссии или индивидуальной программе реабилитации инвалида;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ж) предоставление бесплатно учебников и учебных пособий, иной учебной литературы, а также специальных технических средств обучения коллективного и индивидуального пользования;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з) оказание работниками органов и организаций, предоставляющих услуги в сфере образования, иной необходимой инвалидам помощи в преодолении барьеров, мешающих получению услуг в сфере образования и использованию объектов наравне с другими лицами;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и) условия доступности услуг в сфере образования для инвалидов, предусмотренные:</w:t>
      </w:r>
    </w:p>
    <w:p w:rsidR="009C3BF3" w:rsidRDefault="009C3BF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" w:anchor="l2" w:history="1">
        <w:r w:rsidR="000C2433">
          <w:rPr>
            <w:rFonts w:ascii="Times New Roman" w:hAnsi="Times New Roman" w:cs="Times New Roman"/>
            <w:sz w:val="24"/>
            <w:szCs w:val="24"/>
            <w:u w:val="single"/>
          </w:rPr>
          <w:t>Порядком</w:t>
        </w:r>
      </w:hyperlink>
      <w:r w:rsidR="000C2433">
        <w:rPr>
          <w:rFonts w:ascii="Times New Roman" w:hAnsi="Times New Roman" w:cs="Times New Roman"/>
          <w:sz w:val="24"/>
          <w:szCs w:val="24"/>
        </w:rPr>
        <w:t xml:space="preserve"> организации и осуществления образовательной деятельности по образовательным программам среднего профессионального образования, утвержденным приказом Министерства образования и науки Российской Федерации от 14 июня 2013 г. N 464 (зарегистрирован Министерством юстиции Российской Федерации 30 июля 2013 г., регистрационный N 29200), с изменениями, внесенными приказами Министерства образования и науки Российской Федерации от 22 января 2014 г. N 31 (зарегистрирован Министерством юстиции Российской Федерации 7 марта 2014 г., регистрационный N 31539) и от 15 декабря 2014 г. N 1580 (зарегистрирован Министерством юстиции Российской Федерации 15 января 2015 г., регистрационный N 35545);</w:t>
      </w:r>
    </w:p>
    <w:p w:rsidR="009C3BF3" w:rsidRDefault="009C3BF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0" w:anchor="l2" w:history="1">
        <w:r w:rsidR="000C2433">
          <w:rPr>
            <w:rFonts w:ascii="Times New Roman" w:hAnsi="Times New Roman" w:cs="Times New Roman"/>
            <w:sz w:val="24"/>
            <w:szCs w:val="24"/>
            <w:u w:val="single"/>
          </w:rPr>
          <w:t>Порядком</w:t>
        </w:r>
      </w:hyperlink>
      <w:r w:rsidR="000C2433">
        <w:rPr>
          <w:rFonts w:ascii="Times New Roman" w:hAnsi="Times New Roman" w:cs="Times New Roman"/>
          <w:sz w:val="24"/>
          <w:szCs w:val="24"/>
        </w:rPr>
        <w:t xml:space="preserve"> организации и осуществления образовательной деятельности по дополнительным общеобразовательным программам, утвержденным приказом Министерства образования и науки Российской Федерации от 29 августа 2013 г. N 1008 (зарегистрирован Министерством юстиции Российской Федерации 27 ноября 2013 г., регистрационный N 30468);</w:t>
      </w:r>
    </w:p>
    <w:p w:rsidR="009C3BF3" w:rsidRDefault="009C3BF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1" w:anchor="l2" w:history="1">
        <w:r w:rsidR="000C2433">
          <w:rPr>
            <w:rFonts w:ascii="Times New Roman" w:hAnsi="Times New Roman" w:cs="Times New Roman"/>
            <w:sz w:val="24"/>
            <w:szCs w:val="24"/>
            <w:u w:val="single"/>
          </w:rPr>
          <w:t>Порядком</w:t>
        </w:r>
      </w:hyperlink>
      <w:r w:rsidR="000C2433">
        <w:rPr>
          <w:rFonts w:ascii="Times New Roman" w:hAnsi="Times New Roman" w:cs="Times New Roman"/>
          <w:sz w:val="24"/>
          <w:szCs w:val="24"/>
        </w:rPr>
        <w:t xml:space="preserve">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приказом Министерства образования и науки Российской Федерации от 30 августа 2013 г. N 1014 (зарегистрирован Министерством юстиции Российской Федерации 26 сентября 2013 г., регистрационный N 30038);</w:t>
      </w:r>
    </w:p>
    <w:p w:rsidR="009C3BF3" w:rsidRDefault="009C3BF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2" w:anchor="l48" w:history="1">
        <w:r w:rsidR="000C2433">
          <w:rPr>
            <w:rFonts w:ascii="Times New Roman" w:hAnsi="Times New Roman" w:cs="Times New Roman"/>
            <w:sz w:val="24"/>
            <w:szCs w:val="24"/>
            <w:u w:val="single"/>
          </w:rPr>
          <w:t>Порядком</w:t>
        </w:r>
      </w:hyperlink>
      <w:r w:rsidR="000C2433">
        <w:rPr>
          <w:rFonts w:ascii="Times New Roman" w:hAnsi="Times New Roman" w:cs="Times New Roman"/>
          <w:sz w:val="24"/>
          <w:szCs w:val="24"/>
        </w:rPr>
        <w:t xml:space="preserve">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 приказом Министерства образования и науки Российской Федерации от 30 августа 2013 г. N 1015 (зарегистрирован Министерством юстиции Российской Федерации 1 октября 2013 г., регистрационный N 30067), с изменениями, внесенными приказами Министерства образования и науки Российской Федерации от 13 декабря 2013 г. N 1342 (зарегистрирован Министерством юстиции Российской Федерации 7 февраля 2014 г., регистрационный N 31250), от 28 мая 2014 г. N 598 (зарегистрирован Министерством юстиции Российской Федерации 1 августа 2014 г., регистрационный N 33406) и от 17 июля 2015 г. N 734 (зарегистрирован Министерством юстиции Российской Федерации 13 августа 2015 г., регистрационный N 38490);</w:t>
      </w:r>
    </w:p>
    <w:p w:rsidR="009C3BF3" w:rsidRDefault="009C3BF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3" w:anchor="l2" w:history="1">
        <w:r w:rsidR="000C2433">
          <w:rPr>
            <w:rFonts w:ascii="Times New Roman" w:hAnsi="Times New Roman" w:cs="Times New Roman"/>
            <w:sz w:val="24"/>
            <w:szCs w:val="24"/>
            <w:u w:val="single"/>
          </w:rPr>
          <w:t>Порядком</w:t>
        </w:r>
      </w:hyperlink>
      <w:r w:rsidR="000C2433">
        <w:rPr>
          <w:rFonts w:ascii="Times New Roman" w:hAnsi="Times New Roman" w:cs="Times New Roman"/>
          <w:sz w:val="24"/>
          <w:szCs w:val="24"/>
        </w:rPr>
        <w:t xml:space="preserve"> организации и осуществления образовательной деятельности по образовательным программам высшего образования - программам бакалавриата, программам специалитета, программам магистратуры, утвержденным приказом Министерства образования и науки Российской Федерации от 19 декабря 2013 г. N 1367 (зарегистрирован Министерством юстиции Российской Федерации 24 февраля 2014 г., регистрационный N 31402), с изменениями, внесенными приказом Министерства образования и науки Российской Федерации от 15 января 2015 г. N 7 (зарегистрирован Министерством юстиции Российской Федерации 11 февраля 2015 г., регистрационный N 35965).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Органами и организациями, предоставляющими услуги в сфере образования, осуществляются меры по обеспечению проектирования, строительства и приемки с 1 июля 2016 г. вновь вводимых в эксплуатацию, а также прошедших капитальный ремонт, реконструкцию, модернизацию объектов, в которых осуществляется предоставление услуг, а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также по обеспечению закупки с 1 июля 2016 г. транспортных средств для обслуживания населения с соблюдением требований к их доступности для инвалидов, установленных </w:t>
      </w:r>
      <w:hyperlink r:id="rId14" w:anchor="l1246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статьей 15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Федерального закона от 24 ноября 1995 г. N 181-ФЗ "О социальной защите инвалидов в Российской Федерации" (Собрание законодательства Российской Федерации, 1995, N 48, ст. 4563; 1998, N 31, ст. 3803; 1999, N 2, ст. 232; N 29, ст. 3693; 2001, N 24, ст. 2410; N 33, ст. 3426; N 53, ст. 5024; 2002, N 1, ст. 2; N 22, ст. 2026; 2003, N 2, ст. 167; N 43, ст. 4108; 2004, N 35, ст. 3607; 2005, N 1, ст. 25; 2006, N 1, ст. 10; 2007, N 43, ст. 5084; N 49, ст. 6070; 2008, N 9, ст. 817; N 29, ст. 3410; N 30, ст. 3616; N 52, ст. 6224; 2009, N 18, ст. 2152; N 30, ст. 3739; 2010, N 50, ст. 6609; 2011, N 27, ст. 3880; N 30, ст. 4596; N 45, ст. 6329; N 47, ст. 6608; N 49, ст. 7033; 2012, N 29, ст. 3990; N 30, ст. 4175; N 53, ст. 7621; 2013, N 8, ст. 717; N 19, ст. 2331; N 27, ст. 3460, ст. 3475, ст. 3477; N 48, ст. 6160; N 52, ст. 6986; 2014, N 26, ст. 3406; N 30, ст. 4268; N 49, ст. 6928; 2015, N 14, ст. 2008; N 27, ст. 3967), а также норм и правил, предусмотренных </w:t>
      </w:r>
      <w:hyperlink r:id="rId15" w:anchor="l93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пунктом 41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перечня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сооружений", утвержденного постановлением Правительства Российской Федерации от 26 декабря 2014 г. N 1521 (Собрание законодательства Российской Федерации, 2015, N 2, ст. 465).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Органы и организации, предоставляющие услуги в сфере образования в арендуемых для предоставления услуг объектах, которые невозможно полностью приспособить с учетом потребностей инвалидов, принимают меры по заключению дополнительных соглашений с арендодателем либо по включению в проекты договоров их аренды условий о выполнении собственником объекта требований по обеспечению условий доступности для инвалидов данного объекта.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Органы и организации, предоставляющие услуги в сфере образования, в целях определения мер по поэтапному повышению уровня доступности для инвалидов объектов и предоставляемых услуг проводят обследование данных объектов и предоставляемых услуг, по результатам которого составляется паспорт доступности для инвалидов объекта и услуг (далее соответственно - обследование и паспортизация, Паспорт доступности).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Паспорт доступности содержит следующие разделы: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краткая характеристика объекта и предоставляемых на нем услуг;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оценка соответствия уровня доступности для инвалидов объекта и имеющихся недостатков в обеспечении условий его доступности для инвалидов с использованием показателей, предусмотренных пунктом 11 настоящего Порядка;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оценка соответствия уровня доступности для инвалидов предоставляемых услуг и имеющихся недостатков в обеспечении условий их доступности для инвалидов с использованием показателей, предусмотренных пунктом 12 настоящего Порядка;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управленческие решения по срокам и объемам работ, необходимых для приведения объекта и порядка предоставления на нем услуг в соответствие с требованиями законодательства Российской Федерации.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Для проведения обследования и паспортизации распорядительным актом органа или организации, предоставляющих услуги в сфере образования, создается комиссия по проведению обследования и паспортизации объекта и предоставляемых на нем услуг (далее - Комиссия), утверждаются ее состав, план-график проведения обследования и паспортизации, а также организуется работа Комиссии.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10. В состав Комиссии включаются (по согласованию) представители общественных объединений инвалидов, осуществляющих свою деятельность на территории поселения, муниципального района, городского округа, где расположен объект, на котором планируется проведение обследования и паспортизации.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Оценка соответствия уровня обеспечения доступности для инвалидов объектов осуществляется с использованием следующих показателей доступности для инвалидов объектов и предоставляемых услуг в сфере образования: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удельный вес введенных с 1 июля 2016 г. в эксплуатацию объектов (зданий, помещений), в которых предоставляются услуги в сфере образования, а также используемых для перевозки инвалидов транспортных средств, полностью соответствующих требованиям доступности для инвалидов, от общего количества вновь вводимых объектов и используемых для перевозки инвалидов транспортных средств;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удельный вес существующих объектов, которые в результате проведения после 1 июля 2016 г. на них капитального ремонта, реконструкции, модернизации полностью соответствуют требованиям доступности для инвалидов объектов и услуг, от общего количества объектов, прошедших капитальный ремонт, реконструкцию, модернизацию;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удельный вес существующих объектов, на которых до проведения капитального ремонта или реконструкции обеспечивается доступ инвалидов к месту предоставления услуги, предоставление необходимых услуг в дистанционном режиме, предоставление, когда это возможно, необходимых услуг по месту жительства инвалида, от общего количества объектов, на которых в настоящее время невозможно полностью обеспечить доступность с учетом потребностей инвалидов;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удельный вес объектов, на которых обеспечиваются условия индивидуальной мобильности инвалидов и возможность для самостоятельного их передвижения по объекту, от общего количества объектов, на которых инвалидам предоставляются услуги, в том числе, на которых имеются: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выделенные стоянки автотранспортных средств для инвалидов;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сменные кресла-коляски;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адаптированные лифты;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поручни;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пандусы;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подъемные платформы (аппарели);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раздвижные двери;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доступные входные группы;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доступные санитарно-гигиенические помещения;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достаточная ширина дверных проемов в стенах, лестничных маршей, площадок от общего количества объектов, на которых инвалидам предоставляются услуги в сфере образования;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удельный вес объектов с надлежащим размещением оборудования и носителей информации, необходимых для обеспечения беспрепятственного доступа к объектам (местам предоставления услуг) с учетом ограничений жизнедеятельности инвалида, а также надписей, </w:t>
      </w:r>
      <w:r>
        <w:rPr>
          <w:rFonts w:ascii="Times New Roman" w:hAnsi="Times New Roman" w:cs="Times New Roman"/>
          <w:sz w:val="24"/>
          <w:szCs w:val="24"/>
        </w:rPr>
        <w:lastRenderedPageBreak/>
        <w:t>знаков и иной текстовой и графической информации, выполненной рельефно-точечным шрифтом Брайля и на контрастном фоне, от общего количества объектов, на которых инвалидам предоставляются услуги в сфере образования;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удельный вес объектов в сфере образования, имеющих утвержденные Паспорта доступности, от общего количества объектов, на которых предоставляются услуги в сфере образования.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Оценка соответствия уровня обеспечения доступности для инвалидов услуг осуществляется с использованием следующих показателей доступности для инвалидов объектов и предоставляемых услуг в сфере образования: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удельный вес объектов, в которых одно из помещений, предназначенных для проведения массовых мероприятий, оборудовано индукционной петлей и звукоусиливающей аппаратурой, от общего количества объектов, на которых инвалидам предоставляются услуги в сфере образования;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удельный вес услуг в сфере образования, предоставляемых с использованием русского жестового языка, допуском сурдопереводчика и тифлосурдопереводчика, от общего количества предоставляемых услуг в сфере образования;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доля работников органов и организаций, предоставляющих услуги в сфере образования, прошедших инструктирование или обучение для работы с инвалидами по вопросам, связанным с обеспечением доступности для инвалидов объектов и услуг в сфере образования в соответствии с законодательством Российской Федерации и законодательством субъектов Российской Федерации, от общего числа работников органов и организаций, предоставляющих услуги в сфере образования;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удельный вес услуг в сфере образования, предоставляемых инвалидам с сопровождением ассистента-помощника, от общего количества предоставляемых услуг в сфере образования;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удельный вес услуг в сфере образования, предоставляемых инвалидам с сопровождением тьютора, от общего количества предоставляемых услуг в сфере образования;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доля педагогических работников дошкольных образовательных организаций и общеобразовательных организаций, имеющих образование и (или) квалификацию, позволяющие осуществлять обучение по адаптированным основным общеобразовательным программам, от общего числа педагогических работников дошкольных образовательных организаций и общеобразовательных организаций;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ж) доля детей-инвалидов в возрасте от 5 до 18 лет, получающих дополнительное образование, от общего числа детей-инвалидов данного возраста;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з) доля детей-инвалидов в возрасте от 1,5 до 7 лет, охваченных дошкольным образованием, от общего числа детей-инвалидов данного возраста;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и) доля детей-инвалидов, которым созданы условия для получения качественного общего образования, от общего числа детей-инвалидов школьного возраста;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к) удельный вес органов и организаций, предоставляющих услуги в сфере образования, официальный сайт которых адаптирован для лиц с нарушением зрения (слабовидящих).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По результатам обследования объекта и предоставляемых на нем услуг Комиссией для включения в Паспорт доступности разрабатываются (с учетом положений об обеспечении "разумного приспособления" </w:t>
      </w:r>
      <w:hyperlink r:id="rId16" w:anchor="l0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Конвенции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о правах инвалидов от 13 декабря 2006 г. (Собрание </w:t>
      </w:r>
      <w:r>
        <w:rPr>
          <w:rFonts w:ascii="Times New Roman" w:hAnsi="Times New Roman" w:cs="Times New Roman"/>
          <w:sz w:val="24"/>
          <w:szCs w:val="24"/>
        </w:rPr>
        <w:lastRenderedPageBreak/>
        <w:t>законодательства Российской Федерации 2013, N 6, ст. 468) предложения по принятию управленческих решений, в том числе: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созданию (с учетом потребностей инвалидов) условий доступности существующего объекта и предоставляемых услуг в соответствии с </w:t>
      </w:r>
      <w:hyperlink r:id="rId17" w:anchor="l1298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частью 4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15 Федерального закона от 24 ноября 1995 г. N 181-ФЗ "О социальной защите инвалидов в Российской Федерации" (Собрание законодательства Российской Федерации, 1995, N 48, ст. 4563; 1998, N 31, ст. 3803; 1999, N 2, ст. 232; N 29, ст. 3693; 2001, N 24, ст. 2410; N 33, ст. 3426; N 53, ст. 5024; 2002, N 1, ст. 2; N 22, ст. 2026; 2003, N 2, ст. 167; N 43, ст. 4108; 2004, N 35, ст. 3607; 2005, N 1, ст. 25; 2006, N 1, ст. 10; 2007, N 43, ст. 5084; N 49, ст. 6070; 2008, N 9, ст. 817; N 29, ст. 3410; N 30, ст. 3616; N 52, ст. 6224; 2009, N 18, ст. 2152; N 30, ст. 3739; 2010, N 50, ст. 6609; 2011, N 27, ст. 3880; N 30, ст. 4596; N 45, ст. 6329; N 47, ст. 6608; N 49, ст. 7033; 2012, N 29, ст. 3990; N 30, ст. 4175; N 53, ст. 7621; 2013, N 8, ст. 717; N 19, ст. 2331; N 27, ст. 3460, ст. 3475, ст. 3477; N 48, ст. 6160; N 52, ст. 6986; 2014, N 26, ст. 3406; N 30, ст. 4268; N 49, ст. 6928; 2015, N 14, ст. 2008; N 27, ст. 3967) в случае невозможности полностью приспособить объект с учетом потребностей инвалидов до его реконструкции или капитального ремонта;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определению мероприятий, учитываемых в планах развития объекта, в сметах его капитального и текущего ремонта, реконструкции, модернизации, в графиках переоснащения объекта и закупки нового оборудования, в целях повышения уровня его доступности и условий для предоставления на нем услуг с учетом потребностей инвалидов;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включению в технические задания на разработку проектно-сметной документации по проектированию, строительству, оснащению приспособлениями и оборудованием вновь вводимых в эксплуатацию объектов, на которых предоставляются: услуги в сфере образования, условий, обеспечивающих их полное соответствие требованиям доступности объектов для инвалидов с 1 июля 2016 года.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Паспорт доступности организации, разработанный Комиссией, утверждается руководителем организации и представляется в течение 10 рабочих дней после утверждения: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муниципальными организациями - в орган местного самоуправления, на территории которого ими осуществляется деятельность;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государственными организациями, находящимися в ведении органов государственной власти субъектов Российской Федерации, осуществляющих государственное управление в сфере образования, - в органы государственной власти субъектов Российской Федерации, осуществляющие государственное управление в сфере образования;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федеральными государственными организациями - в федеральные государственные органы, осуществляющие функции учредителя указанных организаций.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 доступности органа утверждается руководителем органа.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В случае предоставления услуги в арендуемом помещении (здании) или с использованием арендуемого транспортного средства в состав Комиссии включается представитель собственника арендуемого помещения (здания) или транспортного средства, а в предложениях по повышению уровня доступности объекта учитываются его предложения, которые вытекают из обязанности собственника обеспечивать условия доступности для инвалидов объектов и услуг в соответствии с </w:t>
      </w:r>
      <w:hyperlink r:id="rId18" w:anchor="l1298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частью 4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15 Федерального закона от 24 ноября 1995 г. N 181-ФЗ "О социальной защите инвалидов в Российской Федерации" (Собрание законодательства Российской Федерации, 1995, N 48, ст. 4563; 1998, N 31, ст. 3803; 1999, N 2, ст. 232; N 29, ст. 3693; 2001, N 24, ст. 2410; N 33, ст. 3426; N 53, ст. 5024; 2002, N 1, ст. 2; N 22, ст. 2026; 2003, N </w:t>
      </w:r>
      <w:r>
        <w:rPr>
          <w:rFonts w:ascii="Times New Roman" w:hAnsi="Times New Roman" w:cs="Times New Roman"/>
          <w:sz w:val="24"/>
          <w:szCs w:val="24"/>
        </w:rPr>
        <w:lastRenderedPageBreak/>
        <w:t>2, ст. 167; N 43, ст. 4108; 2004, N 35, ст. 3607; 2005, N 1, ст. 25; 2006, N 1, ст. 10; 2007, N 43, ст. 5084; N 49, ст. 6070; 2008, N 9, ст. 817; N 29, ст. 3410; N 30, ст. 3616; N 52, ст. 6224; 2009, N 18, ст. 2152; N 30, ст. 3739; 2010, N 50, ст. 6609; 2011, N 27, ст. 3880; N 30, ст. 4596; N 45, ст. 6329; N 47, ст. 6608; N 49, ст. 7033; 2012, N 29, ст. 3990; N 30, ст. 4175; N 53, ст. 7621; 2013, N 8, ст. 717; N 19, ст. 2331; N 27, ст. 3460, ст. 3475, ст. 3477; N 48, ст. 6160; N 52, ст. 6986; 2014, N 26, ст. 3406; N 30, ст. 4268; N 49, ст. 6928; 2015, N 14, ст. 2008; N 27, ст. 3967).</w:t>
      </w:r>
    </w:p>
    <w:p w:rsidR="009C3BF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Органы и организации, предоставляющие услуги в сфере образования, с использованием показателей, предусмотренных пунктами 11 и 12 настоящего Порядка, а также на основании представленных Паспортов доступности разрабатывают и утверждают планы мероприятий (далее - "дорожные карты") по повышению значений показателей доступности для инвалидов объектов и услуг в соответствии с </w:t>
      </w:r>
      <w:hyperlink r:id="rId19" w:anchor="l4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Правилами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разработки федеральными органами исполнительной власти, органами исполнительной власти субъектов Российской Федерации, органами местного самоуправления мероприятий по повышению значений показателей доступности для инвалидов и услуг в установленных сферах деятельности, утвержденными постановлением Правительства Российской Федерации от 17 июня 2015 г. N 599 (Собрание законодательства Российской Федерации, 2015, N 26, ст. 3894).</w:t>
      </w:r>
    </w:p>
    <w:p w:rsidR="000C2433" w:rsidRDefault="000C243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 "Дорожные карты", разработанные и утвержденные Федеральной службой по надзору в сфере образования и науки и Федеральным агентством по делам молодежи, представляются в Министерство образования и науки Российской Федерации.</w:t>
      </w:r>
    </w:p>
    <w:sectPr w:rsidR="000C2433" w:rsidSect="009C3BF3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5552F1"/>
    <w:rsid w:val="000C2433"/>
    <w:rsid w:val="005552F1"/>
    <w:rsid w:val="009C3BF3"/>
    <w:rsid w:val="00F16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B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279362" TargetMode="External"/><Relationship Id="rId13" Type="http://schemas.openxmlformats.org/officeDocument/2006/relationships/hyperlink" Target="https://normativ.kontur.ru/document?moduleid=1&amp;documentid=250124" TargetMode="External"/><Relationship Id="rId18" Type="http://schemas.openxmlformats.org/officeDocument/2006/relationships/hyperlink" Target="https://normativ.kontur.ru/document?moduleid=1&amp;documentid=264247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normativ.kontur.ru/document?moduleid=1&amp;documentid=262852" TargetMode="External"/><Relationship Id="rId12" Type="http://schemas.openxmlformats.org/officeDocument/2006/relationships/hyperlink" Target="https://normativ.kontur.ru/document?moduleid=1&amp;documentid=226237" TargetMode="External"/><Relationship Id="rId17" Type="http://schemas.openxmlformats.org/officeDocument/2006/relationships/hyperlink" Target="https://normativ.kontur.ru/document?moduleid=1&amp;documentid=26424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normativ.kontur.ru/document?moduleid=1&amp;documentid=124263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279362" TargetMode="External"/><Relationship Id="rId11" Type="http://schemas.openxmlformats.org/officeDocument/2006/relationships/hyperlink" Target="https://normativ.kontur.ru/document?moduleid=1&amp;documentid=219270" TargetMode="External"/><Relationship Id="rId5" Type="http://schemas.openxmlformats.org/officeDocument/2006/relationships/hyperlink" Target="https://normativ.kontur.ru/document?moduleid=1&amp;documentid=261011" TargetMode="External"/><Relationship Id="rId15" Type="http://schemas.openxmlformats.org/officeDocument/2006/relationships/hyperlink" Target="https://normativ.kontur.ru/document?moduleid=1&amp;documentid=264413" TargetMode="External"/><Relationship Id="rId10" Type="http://schemas.openxmlformats.org/officeDocument/2006/relationships/hyperlink" Target="https://normativ.kontur.ru/document?moduleid=1&amp;documentid=222406" TargetMode="External"/><Relationship Id="rId19" Type="http://schemas.openxmlformats.org/officeDocument/2006/relationships/hyperlink" Target="https://normativ.kontur.ru/document?moduleid=1&amp;documentid=254276" TargetMode="External"/><Relationship Id="rId4" Type="http://schemas.openxmlformats.org/officeDocument/2006/relationships/hyperlink" Target="https://normativ.kontur.ru/document?moduleid=1&amp;documentid=279362" TargetMode="External"/><Relationship Id="rId9" Type="http://schemas.openxmlformats.org/officeDocument/2006/relationships/hyperlink" Target="https://normativ.kontur.ru/document?moduleid=1&amp;documentid=229101" TargetMode="External"/><Relationship Id="rId14" Type="http://schemas.openxmlformats.org/officeDocument/2006/relationships/hyperlink" Target="https://normativ.kontur.ru/document?moduleid=1&amp;documentid=2642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3927</Words>
  <Characters>22385</Characters>
  <Application>Microsoft Office Word</Application>
  <DocSecurity>0</DocSecurity>
  <Lines>186</Lines>
  <Paragraphs>52</Paragraphs>
  <ScaleCrop>false</ScaleCrop>
  <Company>Reanimator Extreme Edition</Company>
  <LinksUpToDate>false</LinksUpToDate>
  <CharactersWithSpaces>26260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</dc:creator>
  <cp:lastModifiedBy>Метод кабинет</cp:lastModifiedBy>
  <cp:revision>2</cp:revision>
  <dcterms:created xsi:type="dcterms:W3CDTF">2021-01-20T06:58:00Z</dcterms:created>
  <dcterms:modified xsi:type="dcterms:W3CDTF">2021-01-20T06:58:00Z</dcterms:modified>
</cp:coreProperties>
</file>